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4692" w14:textId="77777777" w:rsidR="00FC3916" w:rsidRPr="00AC19DC" w:rsidRDefault="00FC3916" w:rsidP="00FC3916">
      <w:pPr>
        <w:pStyle w:val="Title"/>
        <w:ind w:right="-999" w:hanging="709"/>
        <w:rPr>
          <w:rFonts w:ascii="Aptos" w:hAnsi="Aptos"/>
        </w:rPr>
      </w:pPr>
    </w:p>
    <w:p w14:paraId="7C22F9DC" w14:textId="38D3AC78" w:rsidR="0080633B" w:rsidRPr="00AC19DC" w:rsidRDefault="00000000" w:rsidP="00FC3916">
      <w:pPr>
        <w:pStyle w:val="Title"/>
        <w:ind w:right="-999" w:hanging="709"/>
        <w:rPr>
          <w:rFonts w:ascii="Aptos" w:hAnsi="Aptos"/>
          <w:b/>
          <w:bCs/>
          <w:color w:val="095D70"/>
          <w:sz w:val="44"/>
          <w:szCs w:val="44"/>
        </w:rPr>
      </w:pPr>
      <w:r w:rsidRPr="00AC19DC">
        <w:rPr>
          <w:rFonts w:ascii="Aptos" w:hAnsi="Aptos"/>
          <w:b/>
          <w:bCs/>
          <w:color w:val="095D70"/>
          <w:sz w:val="44"/>
          <w:szCs w:val="44"/>
        </w:rPr>
        <w:t xml:space="preserve">Technology-to-Growth Canvas - Example </w:t>
      </w:r>
    </w:p>
    <w:p w14:paraId="3581268C" w14:textId="77777777" w:rsidR="003262F7" w:rsidRPr="00AC19DC" w:rsidRDefault="00000000">
      <w:pPr>
        <w:rPr>
          <w:rFonts w:ascii="Aptos" w:hAnsi="Aptos"/>
          <w:sz w:val="20"/>
          <w:szCs w:val="20"/>
        </w:rPr>
      </w:pPr>
      <w:r w:rsidRPr="00AC19DC">
        <w:rPr>
          <w:rFonts w:ascii="Aptos" w:hAnsi="Aptos"/>
          <w:b/>
          <w:bCs/>
          <w:sz w:val="20"/>
          <w:szCs w:val="20"/>
        </w:rPr>
        <w:t>Scenario:</w:t>
      </w:r>
      <w:r w:rsidRPr="00AC19DC">
        <w:rPr>
          <w:rFonts w:ascii="Aptos" w:hAnsi="Aptos"/>
          <w:sz w:val="20"/>
          <w:szCs w:val="20"/>
        </w:rPr>
        <w:t xml:space="preserve"> Mid-sized professional institute using Dynamics 365. </w:t>
      </w:r>
    </w:p>
    <w:p w14:paraId="64D86F4C" w14:textId="2436C887" w:rsidR="0080633B" w:rsidRPr="00AC19DC" w:rsidRDefault="00000000">
      <w:pPr>
        <w:rPr>
          <w:rFonts w:ascii="Aptos" w:hAnsi="Aptos"/>
          <w:sz w:val="20"/>
          <w:szCs w:val="20"/>
        </w:rPr>
      </w:pPr>
      <w:r w:rsidRPr="00AC19DC">
        <w:rPr>
          <w:rFonts w:ascii="Aptos" w:hAnsi="Aptos"/>
          <w:b/>
          <w:bCs/>
          <w:sz w:val="20"/>
          <w:szCs w:val="20"/>
        </w:rPr>
        <w:t>Goal:</w:t>
      </w:r>
      <w:r w:rsidRPr="00AC19DC">
        <w:rPr>
          <w:rFonts w:ascii="Aptos" w:hAnsi="Aptos"/>
          <w:sz w:val="20"/>
          <w:szCs w:val="20"/>
        </w:rPr>
        <w:t xml:space="preserve"> </w:t>
      </w:r>
      <w:r w:rsidR="003262F7" w:rsidRPr="00AC19DC">
        <w:rPr>
          <w:rFonts w:ascii="Aptos" w:hAnsi="Aptos"/>
          <w:sz w:val="20"/>
          <w:szCs w:val="20"/>
        </w:rPr>
        <w:t>L</w:t>
      </w:r>
      <w:r w:rsidRPr="00AC19DC">
        <w:rPr>
          <w:rFonts w:ascii="Aptos" w:hAnsi="Aptos"/>
          <w:sz w:val="20"/>
          <w:szCs w:val="20"/>
        </w:rPr>
        <w:t>ift net growth by 2 percent and reduce cost-to-serve by 10 percent in 90 days.</w:t>
      </w:r>
    </w:p>
    <w:p w14:paraId="37F3DA82" w14:textId="77777777" w:rsidR="003262F7" w:rsidRPr="00AC19DC" w:rsidRDefault="003262F7">
      <w:pPr>
        <w:rPr>
          <w:rFonts w:ascii="Aptos" w:hAnsi="Aptos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536"/>
        <w:gridCol w:w="3827"/>
      </w:tblGrid>
      <w:tr w:rsidR="0080633B" w:rsidRPr="00AC19DC" w14:paraId="7D25AB85" w14:textId="77777777" w:rsidTr="00AC19DC">
        <w:tc>
          <w:tcPr>
            <w:tcW w:w="2127" w:type="dxa"/>
            <w:shd w:val="clear" w:color="auto" w:fill="22A0BD"/>
          </w:tcPr>
          <w:p w14:paraId="5E32928B" w14:textId="77777777" w:rsidR="0080633B" w:rsidRPr="00AC19DC" w:rsidRDefault="00000000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AC19DC">
              <w:rPr>
                <w:rFonts w:ascii="Aptos" w:hAnsi="Aptos"/>
                <w:b/>
                <w:bCs/>
                <w:color w:val="FFFFFF" w:themeColor="background1"/>
                <w:sz w:val="20"/>
              </w:rPr>
              <w:t>Business goal (this quarter)</w:t>
            </w:r>
          </w:p>
        </w:tc>
        <w:tc>
          <w:tcPr>
            <w:tcW w:w="4536" w:type="dxa"/>
            <w:shd w:val="clear" w:color="auto" w:fill="22A0BD"/>
          </w:tcPr>
          <w:p w14:paraId="552CD9D4" w14:textId="77777777" w:rsidR="0080633B" w:rsidRPr="00AC19DC" w:rsidRDefault="00000000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AC19DC">
              <w:rPr>
                <w:rFonts w:ascii="Aptos" w:hAnsi="Aptos"/>
                <w:b/>
                <w:bCs/>
                <w:color w:val="FFFFFF" w:themeColor="background1"/>
                <w:sz w:val="20"/>
              </w:rPr>
              <w:t>3 Growth KPIs (definition | baseline | target)</w:t>
            </w:r>
          </w:p>
        </w:tc>
        <w:tc>
          <w:tcPr>
            <w:tcW w:w="3827" w:type="dxa"/>
            <w:shd w:val="clear" w:color="auto" w:fill="22A0BD"/>
          </w:tcPr>
          <w:p w14:paraId="34AD731B" w14:textId="77777777" w:rsidR="0080633B" w:rsidRPr="00AC19DC" w:rsidRDefault="00000000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AC19DC">
              <w:rPr>
                <w:rFonts w:ascii="Aptos" w:hAnsi="Aptos"/>
                <w:b/>
                <w:bCs/>
                <w:color w:val="FFFFFF" w:themeColor="background1"/>
                <w:sz w:val="20"/>
              </w:rPr>
              <w:t>Owners and archetypes</w:t>
            </w:r>
          </w:p>
        </w:tc>
      </w:tr>
      <w:tr w:rsidR="0080633B" w:rsidRPr="00AC19DC" w14:paraId="7726D793" w14:textId="77777777" w:rsidTr="00DA14F3">
        <w:tc>
          <w:tcPr>
            <w:tcW w:w="2127" w:type="dxa"/>
          </w:tcPr>
          <w:p w14:paraId="29320FEB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sz w:val="18"/>
                <w:szCs w:val="18"/>
              </w:rPr>
              <w:t>Increase net member growth by 2 percent while reducing cost-to-serve by 10 percent.</w:t>
            </w:r>
          </w:p>
        </w:tc>
        <w:tc>
          <w:tcPr>
            <w:tcW w:w="4536" w:type="dxa"/>
          </w:tcPr>
          <w:p w14:paraId="009974EE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1)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Renewal conversion | 78 percent | 83 percent</w:t>
            </w:r>
            <w:r w:rsidRPr="00AC19DC">
              <w:rPr>
                <w:rFonts w:ascii="Aptos" w:hAnsi="Aptos"/>
                <w:sz w:val="18"/>
                <w:szCs w:val="18"/>
              </w:rPr>
              <w:br/>
            </w: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2)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Onboarding completion 30 days | 46 percent | 60 percent</w:t>
            </w:r>
            <w:r w:rsidRPr="00AC19DC">
              <w:rPr>
                <w:rFonts w:ascii="Aptos" w:hAnsi="Aptos"/>
                <w:sz w:val="18"/>
                <w:szCs w:val="18"/>
              </w:rPr>
              <w:br/>
            </w: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3)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Cost-to-serve (£/interaction) | £3.10 | £2.80</w:t>
            </w:r>
          </w:p>
        </w:tc>
        <w:tc>
          <w:tcPr>
            <w:tcW w:w="3827" w:type="dxa"/>
          </w:tcPr>
          <w:p w14:paraId="1A2777AD" w14:textId="1C81A75D" w:rsidR="0080633B" w:rsidRPr="00AC19DC" w:rsidRDefault="00621909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Accountable</w:t>
            </w:r>
            <w:r w:rsidR="005F0B47" w:rsidRPr="00AC19DC">
              <w:rPr>
                <w:rFonts w:ascii="Aptos" w:hAnsi="Aptos"/>
                <w:b/>
                <w:bCs/>
                <w:sz w:val="18"/>
                <w:szCs w:val="18"/>
              </w:rPr>
              <w:t xml:space="preserve"> Sponsor</w:t>
            </w: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CEO</w:t>
            </w:r>
            <w:r w:rsidRPr="00AC19DC">
              <w:rPr>
                <w:rFonts w:ascii="Aptos" w:hAnsi="Aptos"/>
                <w:sz w:val="18"/>
                <w:szCs w:val="18"/>
              </w:rPr>
              <w:br/>
            </w: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Owner: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Head of Membership</w:t>
            </w:r>
            <w:r w:rsidRPr="00AC19DC">
              <w:rPr>
                <w:rFonts w:ascii="Aptos" w:hAnsi="Aptos"/>
                <w:sz w:val="18"/>
                <w:szCs w:val="18"/>
              </w:rPr>
              <w:br/>
            </w: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Champions: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Events Manager, Member Services Lead</w:t>
            </w:r>
            <w:r w:rsidRPr="00AC19DC">
              <w:rPr>
                <w:rFonts w:ascii="Aptos" w:hAnsi="Aptos"/>
                <w:sz w:val="18"/>
                <w:szCs w:val="18"/>
              </w:rPr>
              <w:br/>
            </w: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Users: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Membership Advisors (D365)</w:t>
            </w:r>
            <w:r w:rsidRPr="00AC19DC">
              <w:rPr>
                <w:rFonts w:ascii="Aptos" w:hAnsi="Aptos"/>
                <w:sz w:val="18"/>
                <w:szCs w:val="18"/>
              </w:rPr>
              <w:br/>
            </w: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Sceptic: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Finance Ops Lead</w:t>
            </w:r>
          </w:p>
        </w:tc>
      </w:tr>
      <w:tr w:rsidR="0080633B" w:rsidRPr="00AC19DC" w14:paraId="0B26FE15" w14:textId="77777777" w:rsidTr="00DA14F3">
        <w:tc>
          <w:tcPr>
            <w:tcW w:w="2127" w:type="dxa"/>
          </w:tcPr>
          <w:p w14:paraId="282922CB" w14:textId="77777777" w:rsidR="0080633B" w:rsidRPr="00AC19DC" w:rsidRDefault="00000000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Value hypotheses (H1-H3) - linked to KPIs</w:t>
            </w:r>
          </w:p>
        </w:tc>
        <w:tc>
          <w:tcPr>
            <w:tcW w:w="4536" w:type="dxa"/>
          </w:tcPr>
          <w:p w14:paraId="4D2895B2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H1: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Auto-fill payment + 3-line value recap -&gt; +5 pts renewal</w:t>
            </w:r>
            <w:r w:rsidRPr="00AC19DC">
              <w:rPr>
                <w:rFonts w:ascii="Aptos" w:hAnsi="Aptos"/>
                <w:sz w:val="18"/>
                <w:szCs w:val="18"/>
              </w:rPr>
              <w:br/>
            </w: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H2: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3-email segmented onboarding -&gt; +14 pts completion</w:t>
            </w:r>
            <w:r w:rsidRPr="00AC19DC">
              <w:rPr>
                <w:rFonts w:ascii="Aptos" w:hAnsi="Aptos"/>
                <w:sz w:val="18"/>
                <w:szCs w:val="18"/>
              </w:rPr>
              <w:br/>
            </w: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H3: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Top-20 help answers widget -&gt; -20 percent tickets</w:t>
            </w:r>
          </w:p>
        </w:tc>
        <w:tc>
          <w:tcPr>
            <w:tcW w:w="3827" w:type="dxa"/>
          </w:tcPr>
          <w:p w14:paraId="2903A03D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Risks: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tokenisation, segment fields, content tagging</w:t>
            </w:r>
          </w:p>
        </w:tc>
      </w:tr>
      <w:tr w:rsidR="0080633B" w:rsidRPr="00AC19DC" w14:paraId="30B24961" w14:textId="77777777" w:rsidTr="00DA14F3">
        <w:tc>
          <w:tcPr>
            <w:tcW w:w="2127" w:type="dxa"/>
          </w:tcPr>
          <w:p w14:paraId="71EE2EC3" w14:textId="77777777" w:rsidR="0080633B" w:rsidRPr="00AC19DC" w:rsidRDefault="00000000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Roadmap - releases mapped to KPIs</w:t>
            </w:r>
          </w:p>
        </w:tc>
        <w:tc>
          <w:tcPr>
            <w:tcW w:w="4536" w:type="dxa"/>
          </w:tcPr>
          <w:p w14:paraId="5984E573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R1 W5: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Renewal friction fix -&gt; KPI1</w:t>
            </w:r>
            <w:r w:rsidRPr="00AC19DC">
              <w:rPr>
                <w:rFonts w:ascii="Aptos" w:hAnsi="Aptos"/>
                <w:sz w:val="18"/>
                <w:szCs w:val="18"/>
              </w:rPr>
              <w:br/>
            </w: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R2 W7: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Onboarding emails -&gt; KPI2</w:t>
            </w:r>
            <w:r w:rsidRPr="00AC19DC">
              <w:rPr>
                <w:rFonts w:ascii="Aptos" w:hAnsi="Aptos"/>
                <w:sz w:val="18"/>
                <w:szCs w:val="18"/>
              </w:rPr>
              <w:br/>
            </w: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R3 W9: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Help answers widget -&gt; KPI3</w:t>
            </w:r>
          </w:p>
        </w:tc>
        <w:tc>
          <w:tcPr>
            <w:tcW w:w="3827" w:type="dxa"/>
          </w:tcPr>
          <w:p w14:paraId="5A635B4C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Gates: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W4 hygiene sign-off | W10 KPI review</w:t>
            </w:r>
          </w:p>
        </w:tc>
      </w:tr>
      <w:tr w:rsidR="0080633B" w:rsidRPr="00AC19DC" w14:paraId="1EC47F75" w14:textId="77777777" w:rsidTr="00DA14F3">
        <w:tc>
          <w:tcPr>
            <w:tcW w:w="2127" w:type="dxa"/>
          </w:tcPr>
          <w:p w14:paraId="42B5CEC0" w14:textId="77777777" w:rsidR="0080633B" w:rsidRPr="00AC19DC" w:rsidRDefault="00000000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Data to measure KPIs</w:t>
            </w:r>
          </w:p>
        </w:tc>
        <w:tc>
          <w:tcPr>
            <w:tcW w:w="4536" w:type="dxa"/>
          </w:tcPr>
          <w:p w14:paraId="53C984A6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sz w:val="18"/>
                <w:szCs w:val="18"/>
              </w:rPr>
              <w:t>Membership Status/Start/End/Renewal Date, Email, Event/LMS activity, Ticket categories</w:t>
            </w:r>
          </w:p>
        </w:tc>
        <w:tc>
          <w:tcPr>
            <w:tcW w:w="3827" w:type="dxa"/>
          </w:tcPr>
          <w:p w14:paraId="74F2B988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10-day hygiene sprint: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last 24 months; contacts, membership, support</w:t>
            </w:r>
          </w:p>
        </w:tc>
      </w:tr>
      <w:tr w:rsidR="0080633B" w:rsidRPr="00AC19DC" w14:paraId="1F667343" w14:textId="77777777" w:rsidTr="00DA14F3">
        <w:tc>
          <w:tcPr>
            <w:tcW w:w="2127" w:type="dxa"/>
          </w:tcPr>
          <w:p w14:paraId="735A7874" w14:textId="77777777" w:rsidR="0080633B" w:rsidRPr="00AC19DC" w:rsidRDefault="00000000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Adoption plan</w:t>
            </w:r>
          </w:p>
        </w:tc>
        <w:tc>
          <w:tcPr>
            <w:tcW w:w="4536" w:type="dxa"/>
          </w:tcPr>
          <w:p w14:paraId="70CBE8E2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Comms: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2-minute weekly updates; demo Fridays; job aids</w:t>
            </w:r>
          </w:p>
        </w:tc>
        <w:tc>
          <w:tcPr>
            <w:tcW w:w="3827" w:type="dxa"/>
          </w:tcPr>
          <w:p w14:paraId="59B211EC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Risk: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renewal blackout windows; mitigate with cohort A/B</w:t>
            </w:r>
          </w:p>
        </w:tc>
      </w:tr>
      <w:tr w:rsidR="0080633B" w:rsidRPr="00AC19DC" w14:paraId="2C687409" w14:textId="77777777" w:rsidTr="00DA14F3">
        <w:tc>
          <w:tcPr>
            <w:tcW w:w="2127" w:type="dxa"/>
          </w:tcPr>
          <w:p w14:paraId="386093BA" w14:textId="77777777" w:rsidR="0080633B" w:rsidRPr="00AC19DC" w:rsidRDefault="00000000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Governance cadence</w:t>
            </w:r>
          </w:p>
        </w:tc>
        <w:tc>
          <w:tcPr>
            <w:tcW w:w="4536" w:type="dxa"/>
          </w:tcPr>
          <w:p w14:paraId="6C101DDC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sz w:val="18"/>
                <w:szCs w:val="18"/>
              </w:rPr>
              <w:t>Weekly delivery review Mon 09:00 | Quarterly value review</w:t>
            </w:r>
          </w:p>
        </w:tc>
        <w:tc>
          <w:tcPr>
            <w:tcW w:w="3827" w:type="dxa"/>
          </w:tcPr>
          <w:p w14:paraId="41567237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Scorecard watch: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outcome orientation, cadence, adoption</w:t>
            </w:r>
          </w:p>
        </w:tc>
      </w:tr>
      <w:tr w:rsidR="0080633B" w:rsidRPr="00AC19DC" w14:paraId="7D86FD3F" w14:textId="77777777" w:rsidTr="00DA14F3">
        <w:tc>
          <w:tcPr>
            <w:tcW w:w="2127" w:type="dxa"/>
          </w:tcPr>
          <w:p w14:paraId="3E383EC2" w14:textId="77777777" w:rsidR="0080633B" w:rsidRPr="00AC19DC" w:rsidRDefault="00000000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Two-week starter plan</w:t>
            </w:r>
          </w:p>
        </w:tc>
        <w:tc>
          <w:tcPr>
            <w:tcW w:w="4536" w:type="dxa"/>
          </w:tcPr>
          <w:p w14:paraId="0ECC68E1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Week 1: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freeze KPIs, baseline, hygiene </w:t>
            </w:r>
            <w:proofErr w:type="gramStart"/>
            <w:r w:rsidRPr="00AC19DC">
              <w:rPr>
                <w:rFonts w:ascii="Aptos" w:hAnsi="Aptos"/>
                <w:sz w:val="18"/>
                <w:szCs w:val="18"/>
              </w:rPr>
              <w:t>start</w:t>
            </w:r>
            <w:proofErr w:type="gramEnd"/>
            <w:r w:rsidRPr="00AC19DC">
              <w:rPr>
                <w:rFonts w:ascii="Aptos" w:hAnsi="Aptos"/>
                <w:sz w:val="18"/>
                <w:szCs w:val="18"/>
              </w:rPr>
              <w:br/>
            </w: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Week 2: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hygiene continues, scope R1, draft emails</w:t>
            </w:r>
          </w:p>
        </w:tc>
        <w:tc>
          <w:tcPr>
            <w:tcW w:w="3827" w:type="dxa"/>
          </w:tcPr>
          <w:p w14:paraId="52E02F64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Owners: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Head of Membership, CRM Lead, Web Editor</w:t>
            </w:r>
          </w:p>
        </w:tc>
      </w:tr>
      <w:tr w:rsidR="0080633B" w:rsidRPr="00AC19DC" w14:paraId="73174279" w14:textId="77777777" w:rsidTr="00DA14F3">
        <w:tc>
          <w:tcPr>
            <w:tcW w:w="2127" w:type="dxa"/>
          </w:tcPr>
          <w:p w14:paraId="3EAE45A2" w14:textId="77777777" w:rsidR="0080633B" w:rsidRPr="00AC19DC" w:rsidRDefault="00000000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Proof plan</w:t>
            </w:r>
          </w:p>
        </w:tc>
        <w:tc>
          <w:tcPr>
            <w:tcW w:w="4536" w:type="dxa"/>
          </w:tcPr>
          <w:p w14:paraId="3EB2397C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sz w:val="18"/>
                <w:szCs w:val="18"/>
              </w:rPr>
              <w:t>Baseline 8 weeks prior; cohort comparison; success: +5pts, +14pts, -20 percent</w:t>
            </w:r>
          </w:p>
        </w:tc>
        <w:tc>
          <w:tcPr>
            <w:tcW w:w="3827" w:type="dxa"/>
          </w:tcPr>
          <w:p w14:paraId="56541786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Board one-pager:</w:t>
            </w:r>
            <w:r w:rsidRPr="00AC19DC">
              <w:rPr>
                <w:rFonts w:ascii="Aptos" w:hAnsi="Aptos"/>
                <w:sz w:val="18"/>
                <w:szCs w:val="18"/>
              </w:rPr>
              <w:t xml:space="preserve"> 3 KPIs + 'what we shipped'</w:t>
            </w:r>
          </w:p>
        </w:tc>
      </w:tr>
      <w:tr w:rsidR="0080633B" w:rsidRPr="00AC19DC" w14:paraId="70FCC297" w14:textId="77777777" w:rsidTr="00DA14F3">
        <w:tc>
          <w:tcPr>
            <w:tcW w:w="2127" w:type="dxa"/>
          </w:tcPr>
          <w:p w14:paraId="5E5E1125" w14:textId="77777777" w:rsidR="0080633B" w:rsidRPr="00AC19DC" w:rsidRDefault="00000000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AC19DC">
              <w:rPr>
                <w:rFonts w:ascii="Aptos" w:hAnsi="Aptos"/>
                <w:b/>
                <w:bCs/>
                <w:sz w:val="18"/>
                <w:szCs w:val="18"/>
              </w:rPr>
              <w:t>Notes</w:t>
            </w:r>
          </w:p>
        </w:tc>
        <w:tc>
          <w:tcPr>
            <w:tcW w:w="4536" w:type="dxa"/>
          </w:tcPr>
          <w:p w14:paraId="59C49593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sz w:val="18"/>
                <w:szCs w:val="18"/>
              </w:rPr>
              <w:t>Keep definitions stable for the quarter.</w:t>
            </w:r>
          </w:p>
        </w:tc>
        <w:tc>
          <w:tcPr>
            <w:tcW w:w="3827" w:type="dxa"/>
          </w:tcPr>
          <w:p w14:paraId="65AB2023" w14:textId="77777777" w:rsidR="0080633B" w:rsidRPr="00AC19DC" w:rsidRDefault="00000000">
            <w:pPr>
              <w:rPr>
                <w:rFonts w:ascii="Aptos" w:hAnsi="Aptos"/>
                <w:sz w:val="18"/>
                <w:szCs w:val="18"/>
              </w:rPr>
            </w:pPr>
            <w:r w:rsidRPr="00AC19DC">
              <w:rPr>
                <w:rFonts w:ascii="Aptos" w:hAnsi="Aptos"/>
                <w:sz w:val="18"/>
                <w:szCs w:val="18"/>
              </w:rPr>
              <w:t>Avoid vanity metrics.</w:t>
            </w:r>
          </w:p>
        </w:tc>
      </w:tr>
    </w:tbl>
    <w:p w14:paraId="2BC21FEE" w14:textId="77777777" w:rsidR="007858AF" w:rsidRPr="00AC19DC" w:rsidRDefault="007858AF">
      <w:pPr>
        <w:rPr>
          <w:rFonts w:ascii="Aptos" w:hAnsi="Aptos"/>
        </w:rPr>
      </w:pPr>
    </w:p>
    <w:sectPr w:rsidR="007858AF" w:rsidRPr="00AC19DC" w:rsidSect="004629B0">
      <w:headerReference w:type="default" r:id="rId11"/>
      <w:footerReference w:type="default" r:id="rId12"/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260B" w14:textId="77777777" w:rsidR="00C70B2A" w:rsidRDefault="00C70B2A" w:rsidP="00FC3916">
      <w:pPr>
        <w:spacing w:after="0" w:line="240" w:lineRule="auto"/>
      </w:pPr>
      <w:r>
        <w:separator/>
      </w:r>
    </w:p>
  </w:endnote>
  <w:endnote w:type="continuationSeparator" w:id="0">
    <w:p w14:paraId="74808258" w14:textId="77777777" w:rsidR="00C70B2A" w:rsidRDefault="00C70B2A" w:rsidP="00FC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D48D" w14:textId="3902F117" w:rsidR="00AC19DC" w:rsidRPr="00AC19DC" w:rsidRDefault="00AC19DC">
    <w:pPr>
      <w:pStyle w:val="Footer"/>
      <w:rPr>
        <w:rFonts w:ascii="Aptos SemiBold" w:hAnsi="Aptos SemiBold"/>
        <w:b/>
        <w:bCs/>
        <w:color w:val="22A0BD"/>
      </w:rPr>
    </w:pPr>
    <w:r w:rsidRPr="002A64F1">
      <w:rPr>
        <w:rFonts w:ascii="Aptos SemiBold" w:hAnsi="Aptos SemiBold"/>
        <w:b/>
        <w:bCs/>
        <w:color w:val="22A0BD"/>
      </w:rPr>
      <w:t>www.intercloud9.co.uk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3A72" w14:textId="77777777" w:rsidR="00C70B2A" w:rsidRDefault="00C70B2A" w:rsidP="00FC3916">
      <w:pPr>
        <w:spacing w:after="0" w:line="240" w:lineRule="auto"/>
      </w:pPr>
      <w:r>
        <w:separator/>
      </w:r>
    </w:p>
  </w:footnote>
  <w:footnote w:type="continuationSeparator" w:id="0">
    <w:p w14:paraId="47DDCC49" w14:textId="77777777" w:rsidR="00C70B2A" w:rsidRDefault="00C70B2A" w:rsidP="00FC3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3D23" w14:textId="026BA80D" w:rsidR="00FC3916" w:rsidRDefault="00AC19DC" w:rsidP="00FC3916">
    <w:pPr>
      <w:pStyle w:val="Header"/>
      <w:ind w:hanging="709"/>
    </w:pPr>
    <w:r>
      <w:rPr>
        <w:noProof/>
      </w:rPr>
      <w:drawing>
        <wp:inline distT="0" distB="0" distL="0" distR="0" wp14:anchorId="771ABED4" wp14:editId="5817CF7D">
          <wp:extent cx="1657350" cy="628650"/>
          <wp:effectExtent l="0" t="0" r="6350" b="6350"/>
          <wp:docPr id="8809400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940076" name="Picture 880940076"/>
                  <pic:cNvPicPr/>
                </pic:nvPicPr>
                <pic:blipFill rotWithShape="1">
                  <a:blip r:embed="rId1"/>
                  <a:srcRect l="5374" t="8809" r="2882" b="10432"/>
                  <a:stretch>
                    <a:fillRect/>
                  </a:stretch>
                </pic:blipFill>
                <pic:spPr bwMode="auto">
                  <a:xfrm>
                    <a:off x="0" y="0"/>
                    <a:ext cx="1764402" cy="669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1621051">
    <w:abstractNumId w:val="8"/>
  </w:num>
  <w:num w:numId="2" w16cid:durableId="844589512">
    <w:abstractNumId w:val="6"/>
  </w:num>
  <w:num w:numId="3" w16cid:durableId="1928879970">
    <w:abstractNumId w:val="5"/>
  </w:num>
  <w:num w:numId="4" w16cid:durableId="495196436">
    <w:abstractNumId w:val="4"/>
  </w:num>
  <w:num w:numId="5" w16cid:durableId="1952781853">
    <w:abstractNumId w:val="7"/>
  </w:num>
  <w:num w:numId="6" w16cid:durableId="193154283">
    <w:abstractNumId w:val="3"/>
  </w:num>
  <w:num w:numId="7" w16cid:durableId="1703703945">
    <w:abstractNumId w:val="2"/>
  </w:num>
  <w:num w:numId="8" w16cid:durableId="931552431">
    <w:abstractNumId w:val="1"/>
  </w:num>
  <w:num w:numId="9" w16cid:durableId="114709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A20"/>
    <w:rsid w:val="00110B57"/>
    <w:rsid w:val="0015074B"/>
    <w:rsid w:val="001E3C84"/>
    <w:rsid w:val="0029639D"/>
    <w:rsid w:val="003262F7"/>
    <w:rsid w:val="00326F90"/>
    <w:rsid w:val="0041357F"/>
    <w:rsid w:val="004629B0"/>
    <w:rsid w:val="00491D00"/>
    <w:rsid w:val="0050713A"/>
    <w:rsid w:val="00564346"/>
    <w:rsid w:val="005D3CFD"/>
    <w:rsid w:val="005F0B47"/>
    <w:rsid w:val="00621909"/>
    <w:rsid w:val="006E34BB"/>
    <w:rsid w:val="007858AF"/>
    <w:rsid w:val="0080633B"/>
    <w:rsid w:val="00AA1D8D"/>
    <w:rsid w:val="00AC19DC"/>
    <w:rsid w:val="00B47730"/>
    <w:rsid w:val="00C70B2A"/>
    <w:rsid w:val="00CB0664"/>
    <w:rsid w:val="00DA14F3"/>
    <w:rsid w:val="00F93053"/>
    <w:rsid w:val="00FC3916"/>
    <w:rsid w:val="00FC693F"/>
    <w:rsid w:val="00F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E61E00"/>
  <w14:defaultImageDpi w14:val="300"/>
  <w15:docId w15:val="{FC164479-15CA-4E63-9B4D-EA471C2E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748DAAC196B4FBCD213DBC58555F1" ma:contentTypeVersion="15" ma:contentTypeDescription="Create a new document." ma:contentTypeScope="" ma:versionID="557df05082addc7c776892b4ebbacde9">
  <xsd:schema xmlns:xsd="http://www.w3.org/2001/XMLSchema" xmlns:xs="http://www.w3.org/2001/XMLSchema" xmlns:p="http://schemas.microsoft.com/office/2006/metadata/properties" xmlns:ns2="bf5d6965-3a29-415f-aeb3-0357dbb1fda2" xmlns:ns3="2e6aa888-fad2-47c3-bf5a-4f81125cda53" targetNamespace="http://schemas.microsoft.com/office/2006/metadata/properties" ma:root="true" ma:fieldsID="df00e1617a03613482fe5dfb11826a85" ns2:_="" ns3:_="">
    <xsd:import namespace="bf5d6965-3a29-415f-aeb3-0357dbb1fda2"/>
    <xsd:import namespace="2e6aa888-fad2-47c3-bf5a-4f81125cd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6965-3a29-415f-aeb3-0357dbb1f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79ad3c9-05c5-4b46-ab75-658aa960f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aa888-fad2-47c3-bf5a-4f81125cda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1009be-c375-4050-bbad-4219604f6bac}" ma:internalName="TaxCatchAll" ma:showField="CatchAllData" ma:web="2e6aa888-fad2-47c3-bf5a-4f81125cd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d6965-3a29-415f-aeb3-0357dbb1fda2">
      <Terms xmlns="http://schemas.microsoft.com/office/infopath/2007/PartnerControls"/>
    </lcf76f155ced4ddcb4097134ff3c332f>
    <TaxCatchAll xmlns="2e6aa888-fad2-47c3-bf5a-4f81125cda5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B881C-871E-47B2-B202-6ADB44045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d6965-3a29-415f-aeb3-0357dbb1fda2"/>
    <ds:schemaRef ds:uri="2e6aa888-fad2-47c3-bf5a-4f81125cd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F5983-8610-41C5-A4A2-72279645E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CBC8D0-B1F7-46FB-8E33-7BB79974FB7C}">
  <ds:schemaRefs>
    <ds:schemaRef ds:uri="http://schemas.microsoft.com/office/2006/metadata/properties"/>
    <ds:schemaRef ds:uri="http://schemas.microsoft.com/office/infopath/2007/PartnerControls"/>
    <ds:schemaRef ds:uri="bf5d6965-3a29-415f-aeb3-0357dbb1fda2"/>
    <ds:schemaRef ds:uri="2e6aa888-fad2-47c3-bf5a-4f81125cda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>generated by python-docx</dc:description>
  <cp:lastModifiedBy>Kundai Sasha Sunduz</cp:lastModifiedBy>
  <cp:revision>13</cp:revision>
  <dcterms:created xsi:type="dcterms:W3CDTF">2025-10-17T10:11:00Z</dcterms:created>
  <dcterms:modified xsi:type="dcterms:W3CDTF">2025-11-19T12:52:00Z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0x0101004CB748DAAC196B4FBCD213DBC58555F1</vt:lpwstr>
  </property>
  <property fmtid="{D5CDD505-2E9C-101B-9397-08002B2CF9AE}" pid="3" name="MediaServiceImageTags">
    <vt:lpwstr/>
  </property>
</Properties>
</file>